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76" w:rsidRPr="005C1034" w:rsidRDefault="004A6676" w:rsidP="004A6676">
      <w:pPr>
        <w:spacing w:line="540" w:lineRule="exact"/>
        <w:ind w:left="420" w:right="420"/>
        <w:rPr>
          <w:rFonts w:ascii="黑体" w:eastAsia="黑体" w:hAnsi="黑体" w:cs="黑体"/>
          <w:sz w:val="32"/>
          <w:szCs w:val="32"/>
        </w:rPr>
      </w:pPr>
      <w:r w:rsidRPr="00F11E02">
        <w:rPr>
          <w:rFonts w:ascii="仿宋" w:eastAsia="仿宋" w:hAnsi="仿宋" w:cs="黑体" w:hint="eastAsia"/>
          <w:sz w:val="32"/>
          <w:szCs w:val="32"/>
        </w:rPr>
        <w:t>附件</w:t>
      </w:r>
      <w:r w:rsidRPr="00F11E02">
        <w:rPr>
          <w:rFonts w:ascii="仿宋" w:eastAsia="仿宋" w:hAnsi="仿宋" w:cs="黑体"/>
          <w:sz w:val="32"/>
          <w:szCs w:val="32"/>
        </w:rPr>
        <w:t>1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4A6676" w:rsidRPr="005C1034" w:rsidRDefault="004A6676" w:rsidP="004A6676">
      <w:pPr>
        <w:spacing w:line="500" w:lineRule="exact"/>
        <w:ind w:leftChars="0" w:left="0" w:right="420" w:firstLine="0"/>
        <w:jc w:val="center"/>
        <w:rPr>
          <w:rFonts w:ascii="仿宋_GB2312" w:eastAsia="仿宋_GB2312" w:hAnsi="仿宋" w:cs="仿宋"/>
          <w:bCs/>
          <w:sz w:val="24"/>
          <w:szCs w:val="28"/>
        </w:rPr>
      </w:pPr>
      <w:bookmarkStart w:id="0" w:name="_GoBack"/>
      <w:r w:rsidRPr="005C1034">
        <w:rPr>
          <w:rFonts w:ascii="方正小标宋简体" w:eastAsia="方正小标宋简体" w:hAnsi="宋体" w:hint="eastAsia"/>
          <w:sz w:val="32"/>
          <w:szCs w:val="36"/>
        </w:rPr>
        <w:t>“不忘初心、牢记使命”学生党员知识竞赛决赛</w:t>
      </w:r>
      <w:r>
        <w:rPr>
          <w:rFonts w:ascii="方正小标宋简体" w:eastAsia="方正小标宋简体" w:hAnsi="宋体" w:hint="eastAsia"/>
          <w:sz w:val="32"/>
          <w:szCs w:val="36"/>
        </w:rPr>
        <w:t>方案</w:t>
      </w:r>
      <w:bookmarkEnd w:id="0"/>
    </w:p>
    <w:p w:rsidR="004A6676" w:rsidRPr="005C1034" w:rsidRDefault="004A6676" w:rsidP="004A6676">
      <w:pPr>
        <w:spacing w:line="540" w:lineRule="exact"/>
        <w:ind w:left="420" w:right="420" w:firstLineChars="200" w:firstLine="560"/>
        <w:rPr>
          <w:rFonts w:ascii="黑体" w:eastAsia="黑体" w:hAnsi="黑体" w:cs="黑体"/>
          <w:sz w:val="28"/>
          <w:szCs w:val="28"/>
        </w:rPr>
      </w:pPr>
      <w:r w:rsidRPr="005C1034">
        <w:rPr>
          <w:rFonts w:ascii="黑体" w:eastAsia="黑体" w:hAnsi="黑体" w:cs="黑体" w:hint="eastAsia"/>
          <w:sz w:val="28"/>
          <w:szCs w:val="28"/>
        </w:rPr>
        <w:t>一、竞赛方法</w:t>
      </w:r>
    </w:p>
    <w:p w:rsidR="004A6676" w:rsidRPr="005C1034" w:rsidRDefault="004A6676" w:rsidP="004A6676">
      <w:pPr>
        <w:spacing w:line="540" w:lineRule="exact"/>
        <w:ind w:left="420" w:right="420" w:firstLineChars="200" w:firstLine="560"/>
        <w:rPr>
          <w:rFonts w:ascii="黑体" w:eastAsia="黑体" w:hAnsi="黑体" w:cs="黑体"/>
          <w:sz w:val="32"/>
          <w:szCs w:val="32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决赛采取现场答题形式，分三轮：初试锋芒、争分夺秒、风险提速。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（一）初试锋芒。本轮为必答题环节，各参赛队的每位选手依序轮流作答，每人2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秒限时答题（读题不计时），题目数量不限，每题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分，答对加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分，答错不扣分。队友替答、补充、提示的，不得分。该项目团队成绩为</w:t>
      </w:r>
      <w:r>
        <w:rPr>
          <w:rFonts w:ascii="仿宋_GB2312" w:eastAsia="仿宋_GB2312" w:hAnsi="仿宋" w:cs="仿宋"/>
          <w:bCs/>
          <w:sz w:val="28"/>
          <w:szCs w:val="28"/>
        </w:rPr>
        <w:t>4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名参赛选手成绩总和。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（二）争分夺秒。本轮为抢答题环节，共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2题。主持人读题完毕宣布“开始”后，各队使用抢答器进行抢答。抢到答题权后由每支代表队派出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名队员作答，答题限时3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秒，超时视为答错。答对加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分，答错减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（三）风险提速。本轮为风险题。题型分为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分，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20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分，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30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分三类，分值越高难度越大。按前两轮分数由高到低依次答题，每一轮各有一次答题机会，共进行两轮风险答题。选定题后由各队派出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名队员主答，其他队员可以进行补充。答题限时3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0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秒，超时视为答错。成绩计算按照选题分数，答对一题团队加上相应分数,答错一题团队扣减相应分数。每个队伍若选择不参加答题，不加分也不扣分。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（四）三轮结束后，如果出现分数相同且影响奖项区分的情况，并列队伍进行加时赛，加时赛形式为抢答题，直至决出一、二、三等奖。答题结束后，现场公布团体最终成绩。</w:t>
      </w:r>
    </w:p>
    <w:p w:rsidR="004A6676" w:rsidRPr="005C1034" w:rsidRDefault="004A6676" w:rsidP="004A6676">
      <w:pPr>
        <w:spacing w:line="540" w:lineRule="exact"/>
        <w:ind w:leftChars="95" w:left="199" w:right="420" w:firstLineChars="220" w:firstLine="616"/>
        <w:rPr>
          <w:rFonts w:ascii="黑体" w:eastAsia="黑体" w:hAnsi="黑体" w:cs="黑体"/>
          <w:sz w:val="28"/>
          <w:szCs w:val="28"/>
        </w:rPr>
      </w:pPr>
      <w:r w:rsidRPr="005C1034">
        <w:rPr>
          <w:rFonts w:ascii="黑体" w:eastAsia="黑体" w:hAnsi="黑体" w:cs="黑体" w:hint="eastAsia"/>
          <w:sz w:val="28"/>
          <w:szCs w:val="28"/>
        </w:rPr>
        <w:t>二、其他事项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/>
          <w:bCs/>
          <w:sz w:val="28"/>
          <w:szCs w:val="28"/>
        </w:rPr>
        <w:t>1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.参赛选手应认真学习领会本次竞赛相关文件，自觉遵守大赛纪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lastRenderedPageBreak/>
        <w:t>律，服从指挥，听从安排，文明参赛。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/>
          <w:bCs/>
          <w:sz w:val="28"/>
          <w:szCs w:val="28"/>
        </w:rPr>
        <w:t>2.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参赛选手不得携带与竞赛无关的电子设备、通讯设备及其他相关资料与用品。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/>
          <w:bCs/>
          <w:sz w:val="28"/>
          <w:szCs w:val="28"/>
        </w:rPr>
        <w:t>3.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参赛选手应提前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15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分钟到达赛场，可统一服装，按要求入场，不得迟到早退。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/>
          <w:bCs/>
          <w:sz w:val="28"/>
          <w:szCs w:val="28"/>
        </w:rPr>
        <w:t>4.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参赛选手座次抽签决定，应按有关要求在指定位置就坐。</w:t>
      </w:r>
    </w:p>
    <w:p w:rsidR="004A6676" w:rsidRPr="005C1034" w:rsidRDefault="004A6676" w:rsidP="004A6676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5C1034">
        <w:rPr>
          <w:rFonts w:ascii="仿宋_GB2312" w:eastAsia="仿宋_GB2312" w:hAnsi="仿宋" w:cs="仿宋"/>
          <w:bCs/>
          <w:sz w:val="28"/>
          <w:szCs w:val="28"/>
        </w:rPr>
        <w:t>5.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在竞赛过程中，如有疑问，参赛选手应举手示意，裁判人员应按照有关要求及时予以答疑。</w:t>
      </w:r>
    </w:p>
    <w:p w:rsidR="00E024AF" w:rsidRPr="0035254C" w:rsidRDefault="004A6676" w:rsidP="0035254C">
      <w:pPr>
        <w:suppressAutoHyphens/>
        <w:spacing w:before="0" w:after="0" w:line="540" w:lineRule="exact"/>
        <w:ind w:leftChars="95" w:left="199" w:rightChars="0" w:right="420" w:firstLineChars="200" w:firstLine="560"/>
        <w:rPr>
          <w:rFonts w:ascii="仿宋_GB2312" w:eastAsia="仿宋_GB2312" w:hAnsi="仿宋" w:cs="仿宋" w:hint="eastAsia"/>
          <w:bCs/>
          <w:sz w:val="28"/>
          <w:szCs w:val="28"/>
        </w:rPr>
      </w:pP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6</w:t>
      </w:r>
      <w:r w:rsidRPr="005C1034">
        <w:rPr>
          <w:rFonts w:ascii="仿宋_GB2312" w:eastAsia="仿宋_GB2312" w:hAnsi="仿宋" w:cs="仿宋"/>
          <w:bCs/>
          <w:sz w:val="28"/>
          <w:szCs w:val="28"/>
        </w:rPr>
        <w:t>.</w:t>
      </w:r>
      <w:r w:rsidRPr="005C1034">
        <w:rPr>
          <w:rFonts w:ascii="仿宋_GB2312" w:eastAsia="仿宋_GB2312" w:hAnsi="仿宋" w:cs="仿宋" w:hint="eastAsia"/>
          <w:bCs/>
          <w:sz w:val="28"/>
          <w:szCs w:val="28"/>
        </w:rPr>
        <w:t>各环节分值以竞赛时为准。</w:t>
      </w:r>
    </w:p>
    <w:sectPr w:rsidR="00E024AF" w:rsidRPr="0035254C" w:rsidSect="00447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56" w:rsidRDefault="00005656">
      <w:pPr>
        <w:spacing w:before="0" w:after="0" w:line="240" w:lineRule="auto"/>
        <w:ind w:left="420" w:right="420"/>
      </w:pPr>
      <w:r>
        <w:separator/>
      </w:r>
    </w:p>
  </w:endnote>
  <w:endnote w:type="continuationSeparator" w:id="0">
    <w:p w:rsidR="00005656" w:rsidRDefault="00005656">
      <w:pPr>
        <w:spacing w:before="0" w:after="0" w:line="240" w:lineRule="auto"/>
        <w:ind w:left="420"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5"/>
      <w:ind w:left="420" w:righ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AF" w:rsidRDefault="00005656">
    <w:pPr>
      <w:pStyle w:val="a5"/>
      <w:ind w:left="420" w:right="4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024AF" w:rsidRDefault="00453994">
                <w:pPr>
                  <w:pStyle w:val="a5"/>
                  <w:ind w:left="420" w:right="420"/>
                </w:pPr>
                <w:r>
                  <w:rPr>
                    <w:rFonts w:hint="eastAsia"/>
                  </w:rPr>
                  <w:fldChar w:fldCharType="begin"/>
                </w:r>
                <w:r w:rsidR="005E6E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5254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5"/>
      <w:ind w:left="42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56" w:rsidRDefault="00005656">
      <w:pPr>
        <w:spacing w:before="0" w:after="0" w:line="240" w:lineRule="auto"/>
        <w:ind w:left="420" w:right="420"/>
      </w:pPr>
      <w:r>
        <w:separator/>
      </w:r>
    </w:p>
  </w:footnote>
  <w:footnote w:type="continuationSeparator" w:id="0">
    <w:p w:rsidR="00005656" w:rsidRDefault="00005656">
      <w:pPr>
        <w:spacing w:before="0" w:after="0" w:line="240" w:lineRule="auto"/>
        <w:ind w:left="420"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C1386E"/>
    <w:multiLevelType w:val="singleLevel"/>
    <w:tmpl w:val="95C1386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A95"/>
    <w:rsid w:val="00005656"/>
    <w:rsid w:val="0009313C"/>
    <w:rsid w:val="00093F1A"/>
    <w:rsid w:val="000A4497"/>
    <w:rsid w:val="000E46A9"/>
    <w:rsid w:val="0013738A"/>
    <w:rsid w:val="00137A70"/>
    <w:rsid w:val="001A44E7"/>
    <w:rsid w:val="0023272F"/>
    <w:rsid w:val="002B46BB"/>
    <w:rsid w:val="00331EB8"/>
    <w:rsid w:val="003331E0"/>
    <w:rsid w:val="0035254C"/>
    <w:rsid w:val="0042559F"/>
    <w:rsid w:val="004479EC"/>
    <w:rsid w:val="0045308F"/>
    <w:rsid w:val="00453994"/>
    <w:rsid w:val="004A6676"/>
    <w:rsid w:val="00511CE4"/>
    <w:rsid w:val="00561DD5"/>
    <w:rsid w:val="0056522B"/>
    <w:rsid w:val="005C1034"/>
    <w:rsid w:val="005D0E2F"/>
    <w:rsid w:val="005E1362"/>
    <w:rsid w:val="005E408C"/>
    <w:rsid w:val="005E6E1D"/>
    <w:rsid w:val="00612103"/>
    <w:rsid w:val="006138BC"/>
    <w:rsid w:val="00635B36"/>
    <w:rsid w:val="00647294"/>
    <w:rsid w:val="00685799"/>
    <w:rsid w:val="006B2FA9"/>
    <w:rsid w:val="006B74EA"/>
    <w:rsid w:val="007129D9"/>
    <w:rsid w:val="007417C3"/>
    <w:rsid w:val="00752629"/>
    <w:rsid w:val="00777E96"/>
    <w:rsid w:val="00846391"/>
    <w:rsid w:val="00887D35"/>
    <w:rsid w:val="008A6B59"/>
    <w:rsid w:val="008B7BD0"/>
    <w:rsid w:val="00931BA3"/>
    <w:rsid w:val="00932C33"/>
    <w:rsid w:val="009545C2"/>
    <w:rsid w:val="00996480"/>
    <w:rsid w:val="009B1A95"/>
    <w:rsid w:val="009C1534"/>
    <w:rsid w:val="00A30C81"/>
    <w:rsid w:val="00A85743"/>
    <w:rsid w:val="00AA59DD"/>
    <w:rsid w:val="00BB6FC0"/>
    <w:rsid w:val="00C014C5"/>
    <w:rsid w:val="00C73DA6"/>
    <w:rsid w:val="00CB659D"/>
    <w:rsid w:val="00CC3205"/>
    <w:rsid w:val="00D81015"/>
    <w:rsid w:val="00D86D18"/>
    <w:rsid w:val="00DA1E0E"/>
    <w:rsid w:val="00DC2B6E"/>
    <w:rsid w:val="00DE1FE4"/>
    <w:rsid w:val="00E024AF"/>
    <w:rsid w:val="00E1619A"/>
    <w:rsid w:val="00E54265"/>
    <w:rsid w:val="00E94629"/>
    <w:rsid w:val="00EA1518"/>
    <w:rsid w:val="00EA1F41"/>
    <w:rsid w:val="00EA6A56"/>
    <w:rsid w:val="00ED233A"/>
    <w:rsid w:val="00F11E02"/>
    <w:rsid w:val="00F744F1"/>
    <w:rsid w:val="00FC0973"/>
    <w:rsid w:val="00FD37A6"/>
    <w:rsid w:val="076C501A"/>
    <w:rsid w:val="0B51139C"/>
    <w:rsid w:val="0FA46317"/>
    <w:rsid w:val="177D1E84"/>
    <w:rsid w:val="19A250C2"/>
    <w:rsid w:val="20CF5070"/>
    <w:rsid w:val="21395830"/>
    <w:rsid w:val="24774D8F"/>
    <w:rsid w:val="25CD4F8F"/>
    <w:rsid w:val="2E6D251D"/>
    <w:rsid w:val="300F16C2"/>
    <w:rsid w:val="31836536"/>
    <w:rsid w:val="32346FE2"/>
    <w:rsid w:val="42BD3D1D"/>
    <w:rsid w:val="44AB0780"/>
    <w:rsid w:val="46B05B7B"/>
    <w:rsid w:val="5063030C"/>
    <w:rsid w:val="510760C0"/>
    <w:rsid w:val="54325D1D"/>
    <w:rsid w:val="54593CCC"/>
    <w:rsid w:val="591A1066"/>
    <w:rsid w:val="600A25A8"/>
    <w:rsid w:val="68125069"/>
    <w:rsid w:val="6F125636"/>
    <w:rsid w:val="75412CF6"/>
    <w:rsid w:val="756D1F90"/>
    <w:rsid w:val="75D05550"/>
    <w:rsid w:val="78A652B7"/>
    <w:rsid w:val="795B3321"/>
    <w:rsid w:val="7A353F37"/>
    <w:rsid w:val="7B7D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D46AFC-8289-49A3-8F60-D36D003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EC"/>
    <w:pPr>
      <w:widowControl w:val="0"/>
      <w:spacing w:before="10" w:after="10" w:line="440" w:lineRule="exact"/>
      <w:ind w:leftChars="200" w:left="200" w:rightChars="200" w:right="200" w:firstLine="198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79E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479EC"/>
    <w:pPr>
      <w:spacing w:before="0" w:after="0" w:line="240" w:lineRule="auto"/>
    </w:pPr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rsid w:val="004479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4479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4479EC"/>
    <w:pPr>
      <w:spacing w:before="0" w:beforeAutospacing="1" w:after="0" w:afterAutospacing="1"/>
      <w:ind w:left="0" w:right="0"/>
      <w:jc w:val="left"/>
    </w:pPr>
    <w:rPr>
      <w:rFonts w:cs="Times New Roman"/>
      <w:kern w:val="0"/>
      <w:sz w:val="24"/>
    </w:rPr>
  </w:style>
  <w:style w:type="paragraph" w:styleId="a8">
    <w:name w:val="List Paragraph"/>
    <w:basedOn w:val="a"/>
    <w:uiPriority w:val="34"/>
    <w:qFormat/>
    <w:rsid w:val="004479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479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479E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C7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炜</cp:lastModifiedBy>
  <cp:revision>39</cp:revision>
  <cp:lastPrinted>2019-10-11T03:03:00Z</cp:lastPrinted>
  <dcterms:created xsi:type="dcterms:W3CDTF">2019-09-27T07:15:00Z</dcterms:created>
  <dcterms:modified xsi:type="dcterms:W3CDTF">2019-10-17T10:15:00Z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