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007"/>
        <w:gridCol w:w="2937"/>
        <w:gridCol w:w="3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440" w:lineRule="exac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Courier New"/>
                <w:sz w:val="32"/>
                <w:szCs w:val="32"/>
              </w:rPr>
              <w:t>附件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81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Courier New"/>
                <w:sz w:val="32"/>
                <w:szCs w:val="32"/>
              </w:rPr>
            </w:pPr>
            <w:r>
              <w:rPr>
                <w:rFonts w:hint="eastAsia" w:ascii="黑体" w:hAnsi="黑体" w:eastAsia="黑体" w:cs="Courier New"/>
                <w:sz w:val="32"/>
                <w:szCs w:val="32"/>
              </w:rPr>
              <w:t>第十一届宿舍心理健康信息员培训班专题安排表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81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Courier New" w:eastAsia="仿宋_GB2312" w:cs="Courier New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sz w:val="28"/>
                <w:szCs w:val="28"/>
              </w:rPr>
              <w:t>专题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sz w:val="28"/>
                <w:szCs w:val="28"/>
              </w:rPr>
              <w:t>学院（学部）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大学生朋辈心理辅导工作技术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梁  莹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心理+海外、经济、法学+马院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ascii="仿宋_GB2312" w:hAnsi="Courier New" w:eastAsia="仿宋_GB2312" w:cs="Courier New"/>
                <w:sz w:val="24"/>
                <w:szCs w:val="28"/>
              </w:rPr>
              <w:t>刘柏辉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社历、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管理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物能、生科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詹明瑛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color w:val="FF0000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音乐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美术、计网、数统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 xml:space="preserve">陈 </w:t>
            </w:r>
            <w:r>
              <w:rPr>
                <w:rFonts w:ascii="仿宋_GB2312" w:hAnsi="Courier New" w:eastAsia="仿宋_GB2312" w:cs="Courier New"/>
                <w:sz w:val="24"/>
                <w:szCs w:val="28"/>
              </w:rPr>
              <w:t xml:space="preserve"> 坚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环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资、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光电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+柔性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、体科、化材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蔡艺颖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文学、外语、教育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+教师教育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、地科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大学生常见心理问题识别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严由伟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心理+海外、经济、法学+马院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传播、化材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ascii="仿宋_GB2312" w:hAnsi="Courier New" w:eastAsia="仿宋_GB2312" w:cs="Courier New"/>
                <w:sz w:val="24"/>
                <w:szCs w:val="28"/>
              </w:rPr>
              <w:t>郭少清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社历、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管理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物能、生科、地科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彭新波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音乐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美术、计网、数统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ascii="仿宋_GB2312" w:hAnsi="Courier New" w:eastAsia="仿宋_GB2312" w:cs="Courier New"/>
                <w:sz w:val="24"/>
                <w:szCs w:val="28"/>
              </w:rPr>
              <w:t>郭明春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环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资、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光电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+柔性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程利国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文学、外语、教育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+教师教育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大学生宿舍人际关系应对技巧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朱银娇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心理+海外、经济、法学+马院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黄爱玲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文学、外语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教育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+教师教育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、生科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 xml:space="preserve">高 </w:t>
            </w:r>
            <w:r>
              <w:rPr>
                <w:rFonts w:ascii="仿宋_GB2312" w:hAnsi="Courier New" w:eastAsia="仿宋_GB2312" w:cs="Courier New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华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音乐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美术、计网、数统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丘文福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环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资、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光电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+柔性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、体科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Courier New" w:eastAsia="仿宋_GB2312" w:cs="Courier New"/>
                <w:sz w:val="24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杜  凯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Courier New" w:eastAsia="仿宋_GB2312" w:cs="Courier New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社历、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val="en-US" w:eastAsia="zh-CN"/>
              </w:rPr>
              <w:t>管理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物能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ourier New" w:eastAsia="仿宋_GB2312" w:cs="Courier New"/>
                <w:sz w:val="24"/>
                <w:szCs w:val="28"/>
                <w:highlight w:val="none"/>
              </w:rPr>
              <w:t>地科、化材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560" w:lineRule="exact"/>
              <w:rPr>
                <w:rFonts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备注：部分人数较少的学院合并一场培训，中间用“+”号连接。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6CC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2023-11-17T08:47:45Z</dcterms:created>
  <dc:creator>22726</dc:creator>
  <cp:lastModifiedBy>丘文福</cp:lastModifiedBy>
  <dcterms:modified xsi:type="dcterms:W3CDTF">2023-11-17T08:47:49Z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F13F5BD953184A38B4A241FCE1A80FD2_12</vt:lpwstr>
  </property>
</Properties>
</file>